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Default"/>
        <w:jc w:val="center"/>
        <w:spacing w:after="180" w:line="241" w:lineRule="atLeast"/>
      </w:pPr>
    </w:p>
    <w:p>
      <w:pPr>
        <w:pStyle w:val="Default"/>
        <w:spacing w:after="180" w:line="241" w:lineRule="atLeast"/>
        <w:rPr>
          <w:rFonts w:ascii="Helvetica 55 Roman"/>
          <w:sz w:val="24"/>
          <w:szCs w:val="24"/>
        </w:rPr>
      </w:pPr>
    </w:p>
    <w:p>
      <w:pPr>
        <w:pStyle w:val="Default"/>
        <w:spacing w:after="180" w:line="241" w:lineRule="atLeast"/>
        <w:rPr>
          <w:color w:val="27BDD7"/>
          <w:rFonts w:ascii="Helvetica 55 Roman"/>
        </w:rPr>
      </w:pPr>
      <w:r>
        <w:rPr>
          <w:rStyle w:val="A0"/>
          <w:rFonts w:ascii="Helvetica 55 Roman"/>
          <w:sz w:val="24"/>
          <w:szCs w:val="24"/>
        </w:rPr>
        <w:t>Digital artifacts are being created every day.</w:t>
      </w:r>
    </w:p>
    <w:p>
      <w:pPr>
        <w:pStyle w:val="Default"/>
        <w:spacing w:after="360" w:line="241" w:lineRule="atLeast"/>
        <w:rPr>
          <w:color w:val="F8981C"/>
          <w:rFonts w:ascii="Helvetica 55 Roman"/>
        </w:rPr>
      </w:pPr>
      <w:r>
        <w:rPr>
          <w:rStyle w:val="A0"/>
          <w:color w:val="F8981C"/>
          <w:rFonts w:ascii="Helvetica 55 Roman"/>
          <w:sz w:val="24"/>
          <w:szCs w:val="24"/>
        </w:rPr>
        <w:t>But the vast majority of these artifacts are not being preserved. And that’s a problem.</w:t>
      </w:r>
    </w:p>
    <w:p>
      <w:pPr>
        <w:pStyle w:val="Pa2"/>
        <w:ind w:firstLine="720"/>
        <w:rPr>
          <w:color w:val="4A442A"/>
          <w:rFonts w:ascii="Helvetica 55 Roman"/>
          <w:sz w:val="20"/>
          <w:szCs w:val="20"/>
        </w:rPr>
      </w:pPr>
      <w:r>
        <w:rPr>
          <w:rStyle w:val="A1"/>
          <w:color w:val="4A442A"/>
        </w:rPr>
        <w:t>They may be “backed up.” But a file that’s backed up is not preserved for the ages.</w:t>
      </w:r>
    </w:p>
    <w:p>
      <w:pPr>
        <w:pStyle w:val="Pa2"/>
        <w:ind w:left="720"/>
        <w:rPr>
          <w:color w:val="4A442A"/>
          <w:rFonts w:ascii="Helvetica 55 Roman"/>
          <w:sz w:val="20"/>
          <w:szCs w:val="20"/>
        </w:rPr>
      </w:pPr>
      <w:r>
        <w:rPr>
          <w:rStyle w:val="A1"/>
          <w:color w:val="4A442A"/>
        </w:rPr>
        <w:t xml:space="preserve">It’s time for cultural institutions to embrace </w:t>
      </w:r>
      <w:r>
        <w:rPr>
          <w:rStyle w:val="A1"/>
          <w:i/>
          <w:color w:val="4A442A"/>
        </w:rPr>
        <w:t>distributed digital preservation</w:t>
      </w:r>
      <w:r>
        <w:rPr>
          <w:rStyle w:val="A1"/>
          <w:color w:val="4A442A"/>
        </w:rPr>
        <w:t>, a new practice for safeguarding the digital artifacts that define our culture and identity.</w:t>
      </w:r>
    </w:p>
    <w:p>
      <w:pPr>
        <w:pStyle w:val="Pa2"/>
        <w:ind w:left="720"/>
        <w:rPr>
          <w:color w:val="4A442A"/>
          <w:rFonts w:ascii="Helvetica 55 Roman"/>
          <w:sz w:val="20"/>
          <w:szCs w:val="20"/>
        </w:rPr>
      </w:pPr>
      <w:r>
        <w:rPr>
          <w:rStyle w:val="A1"/>
          <w:color w:val="4A442A"/>
        </w:rPr>
        <w:t>The MetaArchive Cooperative is leading a national effort to expand distributed digital preservation</w:t>
      </w:r>
      <w:r>
        <w:rPr>
          <w:rStyle w:val="A1"/>
          <w:color w:val="4A442A"/>
        </w:rPr>
        <w:t>.</w:t>
      </w:r>
    </w:p>
    <w:p>
      <w:pPr>
        <w:pStyle w:val="Normal"/>
        <w:spacing w:after="260" w:line="241" w:lineRule="atLeast"/>
      </w:pPr>
      <w:r>
        <w:rPr>
          <w:color w:val="F8981C"/>
          <w:rFonts w:ascii="Helvetica 55 Roman"/>
          <w:sz w:val="24"/>
          <w:szCs w:val="24"/>
        </w:rPr>
        <w:t xml:space="preserve">What are you doing to </w:t>
      </w:r>
      <w:r>
        <w:rPr>
          <w:i/>
          <w:color w:val="F8981C"/>
          <w:rFonts w:ascii="Helvetica 55 Roman"/>
          <w:sz w:val="24"/>
          <w:szCs w:val="24"/>
        </w:rPr>
        <w:t xml:space="preserve">preserve </w:t>
      </w:r>
      <w:r>
        <w:rPr>
          <w:color w:val="F8981C"/>
          <w:rFonts w:ascii="Helvetica 55 Roman"/>
          <w:sz w:val="24"/>
          <w:szCs w:val="24"/>
        </w:rPr>
        <w:t>your organization’s digital assets?</w:t>
      </w:r>
    </w:p>
    <w:p>
      <w:pPr>
        <w:pStyle w:val="Normal"/>
        <w:ind w:left="720"/>
        <w:spacing w:after="120" w:line="241" w:lineRule="atLeast"/>
        <w:rPr>
          <w:color w:val="221E1F"/>
          <w:rFonts w:ascii="Helvetica 55 Roman"/>
          <w:sz w:val="20"/>
          <w:szCs w:val="20"/>
        </w:rPr>
      </w:pPr>
      <w:r>
        <w:rPr>
          <w:color w:val="221E1F"/>
          <w:rFonts w:ascii="Helvetica 55 Roman"/>
          <w:sz w:val="20"/>
        </w:rPr>
        <w:t xml:space="preserve">Two out of every three cultural heritage institutions report that no one at the institution is responsible for digital preservation activities. </w:t>
      </w:r>
    </w:p>
    <w:p>
      <w:pPr>
        <w:pStyle w:val="Normal"/>
        <w:ind w:left="720"/>
        <w:spacing w:after="120" w:line="241" w:lineRule="atLeast"/>
        <w:rPr>
          <w:color w:val="221E1F"/>
          <w:rFonts w:ascii="Helvetica 55 Roman"/>
          <w:sz w:val="20"/>
          <w:szCs w:val="20"/>
        </w:rPr>
      </w:pPr>
      <w:r>
        <w:rPr>
          <w:color w:val="221E1F"/>
          <w:rFonts w:ascii="Helvetica 55 Roman"/>
          <w:sz w:val="20"/>
        </w:rPr>
        <w:t xml:space="preserve">As a result, digital assets are in danger of being forever lost due to hardware failure, software corruption, natural disaster, or human error. These assets include digitized versions of </w:t>
      </w:r>
      <w:r>
        <w:rPr>
          <w:color w:val="221E1F"/>
          <w:rFonts w:ascii="Helvetica 55 Roman"/>
          <w:sz w:val="20"/>
        </w:rPr>
        <w:t>important</w:t>
      </w:r>
      <w:r>
        <w:rPr>
          <w:color w:val="221E1F"/>
          <w:rFonts w:ascii="Helvetica 55 Roman"/>
          <w:sz w:val="20"/>
        </w:rPr>
        <w:t xml:space="preserve"> historic artifacts as well as original “born-digital” cultural assets, such as election campaign Web sites or the computer files of a world-famous author.</w:t>
      </w:r>
    </w:p>
    <w:p>
      <w:pPr>
        <w:pStyle w:val="Normal"/>
        <w:ind w:left="720"/>
        <w:spacing w:after="120" w:line="241" w:lineRule="atLeast"/>
        <w:rPr>
          <w:color w:val="221E1F"/>
          <w:rFonts w:ascii="Helvetica 55 Roman"/>
          <w:sz w:val="20"/>
          <w:szCs w:val="20"/>
        </w:rPr>
      </w:pPr>
      <w:r>
        <w:rPr>
          <w:color w:val="221E1F"/>
          <w:rFonts w:ascii="Helvetica 55 Roman"/>
          <w:sz w:val="20"/>
        </w:rPr>
        <w:t>The MetaArchive Cooperative is a consortium of cultural institutions working to preserve our nation’s digitized cultural assets. Our community-based approach involves creating networks through which we copy, distribute, and preserve digital files over a wide geographical area. This approach – called distributed digital preservation – is a low-cost, community-based, easy-to-implement digital preservation solution run by and for cultural institutions.</w:t>
      </w:r>
    </w:p>
    <w:p>
      <w:pPr>
        <w:pStyle w:val="Normal"/>
        <w:ind w:left="720"/>
        <w:spacing w:after="120" w:line="241" w:lineRule="atLeast"/>
        <w:rPr>
          <w:color w:val="221E1F"/>
          <w:rFonts w:ascii="Helvetica 55 Roman"/>
          <w:sz w:val="20"/>
          <w:szCs w:val="20"/>
        </w:rPr>
      </w:pPr>
      <w:r>
        <w:rPr>
          <w:i/>
          <w:color w:val="221E1F"/>
          <w:rFonts w:ascii="Helvetica 65 Medium"/>
          <w:sz w:val="20"/>
        </w:rPr>
        <w:t xml:space="preserve">You can be part of this international movement. </w:t>
      </w:r>
      <w:r>
        <w:rPr>
          <w:color w:val="221E1F"/>
          <w:rFonts w:ascii="Helvetica 55 Roman"/>
          <w:sz w:val="20"/>
        </w:rPr>
        <w:t>Visit http://MetaArchive.org to learn about ways to get involved – including joining or starting your own network.</w:t>
      </w:r>
    </w:p>
    <w:p>
      <w:pPr>
        <w:pStyle w:val="Normal"/>
        <w:spacing w:after="40" w:line="241" w:lineRule="atLeast"/>
        <w:rPr>
          <w:color w:val="00A8CB"/>
          <w:rFonts w:ascii="LinotypeVeto"/>
          <w:sz w:val="19"/>
          <w:szCs w:val="19"/>
        </w:rPr>
      </w:pPr>
    </w:p>
    <w:p>
      <w:pPr>
        <w:pStyle w:val="Normal"/>
        <w:spacing w:after="40" w:line="241" w:lineRule="atLeast"/>
        <w:rPr>
          <w:color w:val="00A8CB"/>
          <w:rFonts w:ascii="LinotypeVeto"/>
          <w:sz w:val="19"/>
          <w:szCs w:val="19"/>
        </w:rPr>
      </w:pPr>
    </w:p>
    <w:tbl>
      <w:tblPr>
        <w:tblStyle w:val="TableNormal"/>
        <w:tblLook w:firstRow="1" w:lastRow="0" w:firstColumn="1" w:lastColumn="0" w:noHBand="1" w:noVBand="0"/>
        <w:tblW w:w="0" w:type="auto"/>
      </w:tblPr>
      <w:tblGrid>
        <w:gridCol w:w="4788"/>
        <w:gridCol w:w="4788"/>
      </w:tblGrid>
      <w:tr>
        <w:tc>
          <w:tcPr>
            <w:vAlign w:val="top"/>
            <w:tcW w:w="4788" w:type="dxa"/>
          </w:tcPr>
          <w:p>
            <w:pPr>
              <w:pStyle w:val="Pa3"/>
              <w:jc w:val="center"/>
            </w:pPr>
            <w:r>
              <w:rPr>
                <w:color w:val="00A8CB"/>
              </w:rPr>
              <w:t xml:space="preserve">METAARCHIVE’s </w:t>
            </w:r>
            <w:r>
              <w:rPr>
                <w:color w:val="00A8CB"/>
              </w:rPr>
              <w:t>networks include</w:t>
            </w:r>
          </w:p>
          <w:p>
            <w:pPr>
              <w:pStyle w:val="Normal"/>
              <w:jc w:val="center"/>
              <w:spacing w:after="240" w:line="241" w:lineRule="atLeast"/>
              <w:rPr>
                <w:color w:val="4A442A"/>
                <w:rFonts w:ascii="Helvetica 55 Roman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Southern</w:t>
            </w:r>
            <w:r>
              <w:rPr>
                <w:color w:val="4A442A"/>
                <w:rFonts w:ascii="Helvetica 55 Roman"/>
                <w:sz w:val="20"/>
                <w:szCs w:val="20"/>
              </w:rPr>
              <w:t xml:space="preserve"> Digital Culture</w:t>
            </w:r>
            <w:r>
              <w:br/>
            </w:r>
            <w:r>
              <w:rPr>
                <w:color w:val="4A442A"/>
                <w:rFonts w:ascii="Helvetica 55 Roman"/>
                <w:sz w:val="20"/>
                <w:szCs w:val="20"/>
              </w:rPr>
              <w:t>History of the Transatlantic Slave Trade</w:t>
            </w:r>
          </w:p>
          <w:p>
            <w:pPr>
              <w:pStyle w:val="Normal"/>
              <w:jc w:val="center"/>
              <w:spacing w:after="40" w:line="241" w:lineRule="atLeast"/>
              <w:rPr>
                <w:color w:val="4A442A"/>
                <w:rFonts w:ascii="Helvetica 55 Roman"/>
                <w:sz w:val="20"/>
                <w:szCs w:val="20"/>
              </w:rPr>
            </w:pPr>
            <w:r>
              <w:rPr>
                <w:color w:val="4A442A"/>
                <w:rFonts w:ascii="Helvetica 55 Roman"/>
                <w:sz w:val="20"/>
                <w:szCs w:val="20"/>
              </w:rPr>
              <w:t>Planning for additional networks, including one for Electronic Theses and Dissertations, is underway. We welcome participation and new network ideas from libraries, museums, and other cultural institutions.</w:t>
            </w:r>
          </w:p>
          <w:p>
            <w:pPr>
              <w:pStyle w:val="Normal"/>
              <w:spacing w:after="40" w:line="241" w:lineRule="atLeast"/>
            </w:pPr>
          </w:p>
        </w:tc>
        <w:tc>
          <w:tcPr>
            <w:vAlign w:val="top"/>
            <w:tcW w:w="4788" w:type="dxa"/>
          </w:tcPr>
          <w:p>
            <w:pPr>
              <w:pStyle w:val="Pa3"/>
              <w:jc w:val="center"/>
            </w:pPr>
            <w:r>
              <w:rPr>
                <w:color w:val="00A8CB"/>
              </w:rPr>
              <w:t>Visit http://MetaArchive.org</w:t>
            </w:r>
          </w:p>
          <w:p>
            <w:pPr>
              <w:pStyle w:val="Pa4"/>
              <w:jc w:val="center"/>
              <w:rPr>
                <w:color w:val="221E1F"/>
                <w:rFonts w:ascii="Helvetica 55 Roman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The MetaArchive Cooperative is a collaborative enterprise under the Educopia Institute</w:t>
            </w:r>
          </w:p>
          <w:p>
            <w:pPr>
              <w:pStyle w:val="Pa4"/>
              <w:jc w:val="center"/>
              <w:rPr>
                <w:sz w:val="20"/>
                <w:szCs w:val="20"/>
              </w:rPr>
            </w:pPr>
          </w:p>
          <w:p>
            <w:pPr>
              <w:pStyle w:val="Pa4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The Educopia Institute</w:t>
            </w:r>
          </w:p>
          <w:p>
            <w:pPr>
              <w:pStyle w:val="Pa4"/>
              <w:jc w:val="center"/>
            </w:pPr>
            <w:r>
              <w:rPr>
                <w:rStyle w:val="A3"/>
                <w:sz w:val="20"/>
                <w:szCs w:val="20"/>
              </w:rPr>
              <w:t xml:space="preserve">1230 Peachtree Street, Suite 1900 </w:t>
            </w:r>
          </w:p>
          <w:p>
            <w:pPr>
              <w:pStyle w:val="Pa4"/>
              <w:jc w:val="center"/>
              <w:rPr>
                <w:color w:val="221E1F"/>
                <w:rFonts w:ascii="Helvetica 55 Roman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Atlanta, Georgia 30309 404.783.2534</w:t>
            </w:r>
          </w:p>
          <w:p>
            <w:pPr>
              <w:pStyle w:val="Normal"/>
              <w:spacing w:after="0" w:line="240" w:lineRule="auto"/>
              <w:rPr>
                <w:b/>
              </w:rPr>
            </w:pPr>
          </w:p>
          <w:p>
            <w:pPr>
              <w:pStyle w:val="Normal"/>
              <w:spacing w:after="40" w:line="241" w:lineRule="atLeast"/>
            </w:pPr>
          </w:p>
        </w:tc>
      </w:tr>
    </w:tbl>
    <w:p>
      <w:pPr>
        <w:pStyle w:val="Normal"/>
        <w:rPr>
          <w:b/>
        </w:rPr>
      </w:pPr>
    </w:p>
    <w:sectPr>
      <w:pgSz w:w="12240" w:h="15840"/>
      <w:pgMar w:left="1440" w:right="144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Helvetica 55 Roman"/>
  <w:font w:name="LinotypeVeto"/>
  <w:font w:name="Helvetica 65 Medium"/>
  <w:font w:name="Calibri"/>
  <w:font w:name="Tahoma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A0">
    <w:name w:val="A0"/>
    <w:qFormat/>
    <w:rPr>
      <w:color w:val="27BDD7"/>
      <w:sz w:val="32"/>
      <w:szCs w:val="32"/>
    </w:rPr>
  </w:style>
  <w:style w:type="character" w:styleId="A1">
    <w:name w:val="A1"/>
    <w:qFormat/>
    <w:rPr>
      <w:color w:val="FFFFFF"/>
      <w:rFonts w:ascii="Helvetica 55 Roman"/>
      <w:sz w:val="20"/>
      <w:szCs w:val="20"/>
    </w:rPr>
  </w:style>
  <w:style w:type="character" w:styleId="A3">
    <w:name w:val="A3"/>
    <w:qFormat/>
    <w:rPr>
      <w:color w:val="221E1F"/>
      <w:rFonts w:ascii="Helvetica 55 Roman"/>
      <w:sz w:val="13"/>
      <w:szCs w:val="13"/>
    </w:rPr>
  </w:style>
  <w:style w:type="character" w:styleId="A5">
    <w:name w:val="A5"/>
    <w:qFormat/>
    <w:rPr>
      <w:color w:val="00A8CB"/>
      <w:rFonts w:ascii="Helvetica 55 Roman"/>
      <w:sz w:val="14"/>
      <w:szCs w:val="14"/>
    </w:rPr>
  </w:style>
  <w:style w:type="character" w:styleId="A6">
    <w:name w:val="A6"/>
    <w:qFormat/>
    <w:rPr>
      <w:color w:val="00A8CB"/>
      <w:rFonts w:ascii="Helvetica 55 Roman"/>
      <w:sz w:val="17"/>
      <w:szCs w:val="17"/>
    </w:rPr>
  </w:style>
  <w:style w:type="paragraph" w:styleId="BalloonText">
    <w:name w:val="Balloon Text"/>
    <w:qFormat/>
    <w:basedOn w:val="Normal"/>
    <w:rPr>
      <w:rFonts w:ascii="Tahoma"/>
      <w:sz w:val="16"/>
      <w:szCs w:val="16"/>
    </w:rPr>
    <w:pPr>
      <w:spacing w:after="0" w:line="240" w:lineRule="auto"/>
    </w:pPr>
  </w:style>
  <w:style w:type="character" w:styleId="BalloonTextChar">
    <w:name w:val="Balloon Text Char"/>
    <w:qFormat/>
    <w:basedOn w:val="DefaultParagraphFont"/>
    <w:rPr>
      <w:rFonts w:ascii="Tahoma"/>
      <w:sz w:val="16"/>
      <w:szCs w:val="16"/>
    </w:rPr>
  </w:style>
  <w:style w:type="paragraph" w:styleId="Default">
    <w:name w:val="Default"/>
    <w:qFormat/>
    <w:rPr>
      <w:color w:val="000000"/>
      <w:rFonts w:ascii="LinotypeVeto"/>
      <w:sz w:val="24"/>
      <w:szCs w:val="24"/>
    </w:rPr>
    <w:pPr/>
  </w:style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2"/>
      <w:szCs w:val="22"/>
    </w:rPr>
    <w:pPr>
      <w:spacing w:after="200" w:line="276" w:lineRule="auto"/>
    </w:pPr>
  </w:style>
  <w:style w:type="paragraph" w:styleId="Pa2">
    <w:name w:val="Pa2"/>
    <w:qFormat/>
    <w:basedOn w:val="Default"/>
    <w:rPr>
      <w:color w:val="000000"/>
    </w:rPr>
    <w:pPr>
      <w:spacing w:after="260" w:line="241" w:lineRule="atLeast"/>
    </w:pPr>
  </w:style>
  <w:style w:type="paragraph" w:styleId="Pa3">
    <w:name w:val="Pa3"/>
    <w:qFormat/>
    <w:basedOn w:val="Default"/>
    <w:rPr>
      <w:color w:val="000000"/>
    </w:rPr>
    <w:pPr>
      <w:spacing w:after="120" w:line="241" w:lineRule="atLeast"/>
    </w:pPr>
  </w:style>
  <w:style w:type="paragraph" w:styleId="Pa4">
    <w:name w:val="Pa4"/>
    <w:qFormat/>
    <w:basedOn w:val="Default"/>
    <w:rPr>
      <w:color w:val="000000"/>
    </w:rPr>
    <w:pPr>
      <w:spacing w:after="60" w:line="241" w:lineRule="atLeast"/>
    </w:pPr>
  </w:style>
  <w:style w:type="paragraph" w:styleId="Pa5">
    <w:name w:val="Pa5"/>
    <w:qFormat/>
    <w:basedOn w:val="Default"/>
    <w:rPr>
      <w:color w:val="000000"/>
    </w:rPr>
    <w:pPr>
      <w:spacing w:after="40" w:line="241" w:lineRule="atLeast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</w:tbl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