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3F" w:rsidRPr="00FC549A" w:rsidRDefault="00BF743F">
      <w:pPr>
        <w:rPr>
          <w:rFonts w:ascii="Arial" w:hAnsi="Arial"/>
          <w:b/>
          <w:sz w:val="22"/>
        </w:rPr>
      </w:pPr>
      <w:r w:rsidRPr="00FC549A">
        <w:rPr>
          <w:rFonts w:ascii="Arial" w:hAnsi="Arial"/>
          <w:b/>
          <w:sz w:val="22"/>
        </w:rPr>
        <w:t xml:space="preserve">General Lifecycle </w:t>
      </w:r>
      <w:proofErr w:type="spellStart"/>
      <w:r w:rsidRPr="00FC549A">
        <w:rPr>
          <w:rFonts w:ascii="Arial" w:hAnsi="Arial"/>
          <w:b/>
          <w:sz w:val="22"/>
        </w:rPr>
        <w:t>Curation</w:t>
      </w:r>
      <w:proofErr w:type="spellEnd"/>
      <w:r w:rsidRPr="00FC549A">
        <w:rPr>
          <w:rFonts w:ascii="Arial" w:hAnsi="Arial"/>
          <w:b/>
          <w:sz w:val="22"/>
        </w:rPr>
        <w:t xml:space="preserve"> Functions for ETD Programs</w:t>
      </w:r>
    </w:p>
    <w:p w:rsidR="00BF743F" w:rsidRPr="00FC549A" w:rsidRDefault="00BF743F">
      <w:pPr>
        <w:rPr>
          <w:rFonts w:ascii="Arial" w:hAnsi="Arial"/>
          <w:b/>
          <w:sz w:val="22"/>
        </w:rPr>
      </w:pP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creation</w:t>
      </w:r>
      <w:proofErr w:type="gramEnd"/>
      <w:r w:rsidRPr="00FC549A">
        <w:rPr>
          <w:rFonts w:ascii="Arial" w:hAnsi="Arial"/>
          <w:sz w:val="22"/>
        </w:rPr>
        <w:t xml:space="preserve"> guidelines</w:t>
      </w: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deposit</w:t>
      </w:r>
      <w:proofErr w:type="gramEnd"/>
      <w:r w:rsidRPr="00FC549A">
        <w:rPr>
          <w:rFonts w:ascii="Arial" w:hAnsi="Arial"/>
          <w:sz w:val="22"/>
        </w:rPr>
        <w:t>/submission</w:t>
      </w: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documenting</w:t>
      </w:r>
      <w:proofErr w:type="gramEnd"/>
      <w:r w:rsidRPr="00FC549A">
        <w:rPr>
          <w:rFonts w:ascii="Arial" w:hAnsi="Arial"/>
          <w:sz w:val="22"/>
        </w:rPr>
        <w:t xml:space="preserve"> approvals</w:t>
      </w: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metadata</w:t>
      </w:r>
      <w:proofErr w:type="gramEnd"/>
      <w:r w:rsidRPr="00FC549A">
        <w:rPr>
          <w:rFonts w:ascii="Arial" w:hAnsi="Arial"/>
          <w:sz w:val="22"/>
        </w:rPr>
        <w:t xml:space="preserve"> capture</w:t>
      </w: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rights</w:t>
      </w:r>
      <w:proofErr w:type="gramEnd"/>
      <w:r w:rsidRPr="00FC549A">
        <w:rPr>
          <w:rFonts w:ascii="Arial" w:hAnsi="Arial"/>
          <w:sz w:val="22"/>
        </w:rPr>
        <w:t xml:space="preserve"> management</w:t>
      </w: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ingest</w:t>
      </w:r>
      <w:proofErr w:type="gramEnd"/>
      <w:r w:rsidRPr="00FC549A">
        <w:rPr>
          <w:rFonts w:ascii="Arial" w:hAnsi="Arial"/>
          <w:sz w:val="22"/>
        </w:rPr>
        <w:t xml:space="preserve"> into commercial and/or library-based repositories</w:t>
      </w:r>
    </w:p>
    <w:p w:rsidR="00BF743F" w:rsidRPr="00FC549A" w:rsidRDefault="00BF743F" w:rsidP="00BF743F">
      <w:pPr>
        <w:pStyle w:val="ListParagraph"/>
        <w:numPr>
          <w:ilvl w:val="0"/>
          <w:numId w:val="1"/>
        </w:numPr>
        <w:rPr>
          <w:rFonts w:ascii="Arial" w:hAnsi="Arial"/>
          <w:sz w:val="22"/>
        </w:rPr>
      </w:pPr>
      <w:proofErr w:type="gramStart"/>
      <w:r w:rsidRPr="00FC549A">
        <w:rPr>
          <w:rFonts w:ascii="Arial" w:hAnsi="Arial"/>
          <w:sz w:val="22"/>
        </w:rPr>
        <w:t>cataloging</w:t>
      </w:r>
      <w:proofErr w:type="gramEnd"/>
      <w:r w:rsidRPr="00FC549A">
        <w:rPr>
          <w:rFonts w:ascii="Arial" w:hAnsi="Arial"/>
          <w:sz w:val="22"/>
        </w:rPr>
        <w:t>, access and usage monitoring</w:t>
      </w:r>
    </w:p>
    <w:p w:rsidR="00BF743F" w:rsidRPr="00FC549A" w:rsidRDefault="00BF743F" w:rsidP="00BF743F">
      <w:pPr>
        <w:rPr>
          <w:rFonts w:ascii="Arial" w:hAnsi="Arial"/>
          <w:sz w:val="22"/>
        </w:rPr>
      </w:pPr>
    </w:p>
    <w:p w:rsidR="00BF743F" w:rsidRPr="00FC549A" w:rsidRDefault="00BF743F" w:rsidP="00BF743F">
      <w:pPr>
        <w:rPr>
          <w:rFonts w:ascii="Arial" w:hAnsi="Arial"/>
          <w:b/>
          <w:sz w:val="22"/>
        </w:rPr>
      </w:pPr>
      <w:r w:rsidRPr="00FC549A">
        <w:rPr>
          <w:rFonts w:ascii="Arial" w:hAnsi="Arial"/>
          <w:b/>
          <w:sz w:val="22"/>
        </w:rPr>
        <w:t>ETD Program Stakeholders on the Lifecycle</w:t>
      </w:r>
    </w:p>
    <w:p w:rsidR="00BF743F" w:rsidRPr="00FC549A" w:rsidRDefault="00BF743F" w:rsidP="00BF743F">
      <w:pPr>
        <w:rPr>
          <w:rFonts w:ascii="Arial" w:hAnsi="Arial"/>
          <w:b/>
          <w:sz w:val="22"/>
        </w:rPr>
      </w:pPr>
    </w:p>
    <w:p w:rsidR="00BF743F" w:rsidRPr="00FC549A" w:rsidRDefault="00BF743F" w:rsidP="00BF743F">
      <w:pPr>
        <w:pStyle w:val="ListParagraph"/>
        <w:numPr>
          <w:ilvl w:val="0"/>
          <w:numId w:val="2"/>
        </w:numPr>
        <w:rPr>
          <w:rFonts w:ascii="Arial" w:hAnsi="Arial"/>
          <w:sz w:val="22"/>
        </w:rPr>
      </w:pPr>
      <w:r w:rsidRPr="00FC549A">
        <w:rPr>
          <w:rFonts w:ascii="Arial" w:hAnsi="Arial"/>
          <w:sz w:val="22"/>
        </w:rPr>
        <w:t>Create &amp; Receive</w:t>
      </w:r>
    </w:p>
    <w:p w:rsidR="00BF743F" w:rsidRPr="00FC549A" w:rsidRDefault="00BF743F" w:rsidP="00BF743F">
      <w:pPr>
        <w:pStyle w:val="ListParagraph"/>
        <w:numPr>
          <w:ilvl w:val="1"/>
          <w:numId w:val="2"/>
        </w:numPr>
        <w:rPr>
          <w:rFonts w:ascii="Arial" w:hAnsi="Arial"/>
          <w:sz w:val="22"/>
        </w:rPr>
      </w:pPr>
      <w:r w:rsidRPr="00FC549A">
        <w:rPr>
          <w:rFonts w:ascii="Arial" w:hAnsi="Arial"/>
          <w:sz w:val="22"/>
        </w:rPr>
        <w:t xml:space="preserve">Student authors create and submit </w:t>
      </w:r>
      <w:proofErr w:type="spellStart"/>
      <w:r w:rsidRPr="00FC549A">
        <w:rPr>
          <w:rFonts w:ascii="Arial" w:hAnsi="Arial"/>
          <w:sz w:val="22"/>
        </w:rPr>
        <w:t>ETDs</w:t>
      </w:r>
      <w:proofErr w:type="spellEnd"/>
      <w:r w:rsidRPr="00FC549A">
        <w:rPr>
          <w:rFonts w:ascii="Arial" w:hAnsi="Arial"/>
          <w:sz w:val="22"/>
        </w:rPr>
        <w:t xml:space="preserve"> </w:t>
      </w:r>
    </w:p>
    <w:p w:rsidR="00BF743F" w:rsidRPr="00FC549A" w:rsidRDefault="00BF743F" w:rsidP="00BF743F">
      <w:pPr>
        <w:pStyle w:val="ListParagraph"/>
        <w:numPr>
          <w:ilvl w:val="0"/>
          <w:numId w:val="2"/>
        </w:numPr>
        <w:rPr>
          <w:rFonts w:ascii="Arial" w:hAnsi="Arial"/>
          <w:sz w:val="22"/>
        </w:rPr>
      </w:pPr>
      <w:r w:rsidRPr="00FC549A">
        <w:rPr>
          <w:rFonts w:ascii="Arial" w:hAnsi="Arial"/>
          <w:sz w:val="22"/>
        </w:rPr>
        <w:t>Appraise &amp; Select (Dispose?)</w:t>
      </w:r>
    </w:p>
    <w:p w:rsidR="00BF743F" w:rsidRPr="00FC549A" w:rsidRDefault="00BF743F" w:rsidP="00BF743F">
      <w:pPr>
        <w:pStyle w:val="ListParagraph"/>
        <w:numPr>
          <w:ilvl w:val="1"/>
          <w:numId w:val="2"/>
        </w:numPr>
        <w:rPr>
          <w:rFonts w:ascii="Arial" w:hAnsi="Arial"/>
          <w:sz w:val="22"/>
        </w:rPr>
      </w:pPr>
      <w:r w:rsidRPr="00FC549A">
        <w:rPr>
          <w:rFonts w:ascii="Arial" w:hAnsi="Arial"/>
          <w:sz w:val="22"/>
        </w:rPr>
        <w:t xml:space="preserve">Graduate schools process &amp; approve </w:t>
      </w:r>
      <w:proofErr w:type="spellStart"/>
      <w:r w:rsidRPr="00FC549A">
        <w:rPr>
          <w:rFonts w:ascii="Arial" w:hAnsi="Arial"/>
          <w:sz w:val="22"/>
        </w:rPr>
        <w:t>ETDs</w:t>
      </w:r>
      <w:proofErr w:type="spellEnd"/>
      <w:r w:rsidRPr="00FC549A">
        <w:rPr>
          <w:rFonts w:ascii="Arial" w:hAnsi="Arial"/>
          <w:sz w:val="22"/>
        </w:rPr>
        <w:t xml:space="preserve"> </w:t>
      </w:r>
    </w:p>
    <w:p w:rsidR="00BF743F" w:rsidRPr="00FC549A" w:rsidRDefault="00BF743F" w:rsidP="00BF743F">
      <w:pPr>
        <w:pStyle w:val="ListParagraph"/>
        <w:numPr>
          <w:ilvl w:val="0"/>
          <w:numId w:val="2"/>
        </w:numPr>
        <w:rPr>
          <w:rFonts w:ascii="Arial" w:hAnsi="Arial"/>
          <w:sz w:val="22"/>
        </w:rPr>
      </w:pPr>
      <w:r w:rsidRPr="00FC549A">
        <w:rPr>
          <w:rFonts w:ascii="Arial" w:hAnsi="Arial"/>
          <w:sz w:val="22"/>
        </w:rPr>
        <w:t>Manage &amp; Store</w:t>
      </w:r>
    </w:p>
    <w:p w:rsidR="00BF743F" w:rsidRPr="00FC549A" w:rsidRDefault="00BF743F" w:rsidP="00BF743F">
      <w:pPr>
        <w:pStyle w:val="ListParagraph"/>
        <w:numPr>
          <w:ilvl w:val="1"/>
          <w:numId w:val="2"/>
        </w:numPr>
        <w:rPr>
          <w:rFonts w:ascii="Arial" w:hAnsi="Arial"/>
          <w:sz w:val="22"/>
        </w:rPr>
      </w:pPr>
      <w:r w:rsidRPr="00FC549A">
        <w:rPr>
          <w:rFonts w:ascii="Arial" w:hAnsi="Arial"/>
          <w:sz w:val="22"/>
        </w:rPr>
        <w:t xml:space="preserve">Graduate Schools embargo, release &amp; update </w:t>
      </w:r>
      <w:proofErr w:type="spellStart"/>
      <w:r w:rsidRPr="00FC549A">
        <w:rPr>
          <w:rFonts w:ascii="Arial" w:hAnsi="Arial"/>
          <w:sz w:val="22"/>
        </w:rPr>
        <w:t>ETDs</w:t>
      </w:r>
      <w:proofErr w:type="spellEnd"/>
    </w:p>
    <w:p w:rsidR="00BF743F" w:rsidRPr="00FC549A" w:rsidRDefault="00BF743F" w:rsidP="00BF743F">
      <w:pPr>
        <w:pStyle w:val="ListParagraph"/>
        <w:numPr>
          <w:ilvl w:val="1"/>
          <w:numId w:val="2"/>
        </w:numPr>
        <w:rPr>
          <w:rFonts w:ascii="Arial" w:hAnsi="Arial"/>
          <w:sz w:val="22"/>
        </w:rPr>
      </w:pPr>
      <w:r w:rsidRPr="00FC549A">
        <w:rPr>
          <w:rFonts w:ascii="Arial" w:hAnsi="Arial"/>
          <w:sz w:val="22"/>
        </w:rPr>
        <w:t xml:space="preserve">Libraries/IT/Vendors catalog, and archive </w:t>
      </w:r>
      <w:proofErr w:type="spellStart"/>
      <w:r w:rsidRPr="00FC549A">
        <w:rPr>
          <w:rFonts w:ascii="Arial" w:hAnsi="Arial"/>
          <w:sz w:val="22"/>
        </w:rPr>
        <w:t>ETDs</w:t>
      </w:r>
      <w:proofErr w:type="spellEnd"/>
      <w:r w:rsidRPr="00FC549A">
        <w:rPr>
          <w:rFonts w:ascii="Arial" w:hAnsi="Arial"/>
          <w:sz w:val="22"/>
        </w:rPr>
        <w:t xml:space="preserve"> </w:t>
      </w:r>
    </w:p>
    <w:p w:rsidR="00BF743F" w:rsidRPr="00FC549A" w:rsidRDefault="00BF743F" w:rsidP="00BF743F">
      <w:pPr>
        <w:pStyle w:val="ListParagraph"/>
        <w:numPr>
          <w:ilvl w:val="0"/>
          <w:numId w:val="2"/>
        </w:numPr>
        <w:rPr>
          <w:rFonts w:ascii="Arial" w:hAnsi="Arial"/>
          <w:sz w:val="22"/>
        </w:rPr>
      </w:pPr>
      <w:r w:rsidRPr="00FC549A">
        <w:rPr>
          <w:rFonts w:ascii="Arial" w:hAnsi="Arial"/>
          <w:sz w:val="22"/>
        </w:rPr>
        <w:t>Access, Use &amp; Re-Use</w:t>
      </w:r>
    </w:p>
    <w:p w:rsidR="00BF743F" w:rsidRPr="00FC549A" w:rsidRDefault="00BF743F" w:rsidP="00BF743F">
      <w:pPr>
        <w:pStyle w:val="ListParagraph"/>
        <w:numPr>
          <w:ilvl w:val="1"/>
          <w:numId w:val="2"/>
        </w:numPr>
        <w:rPr>
          <w:rFonts w:ascii="Arial" w:hAnsi="Arial"/>
          <w:sz w:val="22"/>
        </w:rPr>
      </w:pPr>
      <w:r w:rsidRPr="00FC549A">
        <w:rPr>
          <w:rFonts w:ascii="Arial" w:hAnsi="Arial"/>
          <w:sz w:val="22"/>
        </w:rPr>
        <w:t xml:space="preserve">Libraries/IT/Vendors disseminate </w:t>
      </w:r>
      <w:proofErr w:type="spellStart"/>
      <w:r w:rsidRPr="00FC549A">
        <w:rPr>
          <w:rFonts w:ascii="Arial" w:hAnsi="Arial"/>
          <w:sz w:val="22"/>
        </w:rPr>
        <w:t>ETDs</w:t>
      </w:r>
      <w:proofErr w:type="spellEnd"/>
    </w:p>
    <w:p w:rsidR="00BF743F" w:rsidRPr="00FC549A" w:rsidRDefault="00BF743F" w:rsidP="00BF743F">
      <w:pPr>
        <w:pStyle w:val="ListParagraph"/>
        <w:numPr>
          <w:ilvl w:val="1"/>
          <w:numId w:val="2"/>
        </w:numPr>
        <w:rPr>
          <w:rFonts w:ascii="Arial" w:hAnsi="Arial"/>
          <w:sz w:val="22"/>
        </w:rPr>
      </w:pPr>
      <w:r w:rsidRPr="00FC549A">
        <w:rPr>
          <w:rFonts w:ascii="Arial" w:hAnsi="Arial"/>
          <w:sz w:val="22"/>
        </w:rPr>
        <w:t xml:space="preserve">Scholars and scientists use and re-use </w:t>
      </w:r>
      <w:proofErr w:type="spellStart"/>
      <w:r w:rsidRPr="00FC549A">
        <w:rPr>
          <w:rFonts w:ascii="Arial" w:hAnsi="Arial"/>
          <w:sz w:val="22"/>
        </w:rPr>
        <w:t>ETDs</w:t>
      </w:r>
      <w:proofErr w:type="spellEnd"/>
      <w:r w:rsidRPr="00FC549A">
        <w:rPr>
          <w:rFonts w:ascii="Arial" w:hAnsi="Arial"/>
          <w:sz w:val="22"/>
        </w:rPr>
        <w:t xml:space="preserve"> </w:t>
      </w:r>
    </w:p>
    <w:p w:rsidR="003449D2" w:rsidRDefault="00BF743F" w:rsidP="00FC549A">
      <w:pPr>
        <w:jc w:val="center"/>
      </w:pPr>
      <w:r w:rsidRPr="00BF743F">
        <w:rPr>
          <w:noProof/>
        </w:rPr>
        <w:drawing>
          <wp:inline distT="0" distB="0" distL="0" distR="0">
            <wp:extent cx="5029200" cy="3416300"/>
            <wp:effectExtent l="0" t="0" r="0" b="0"/>
            <wp:docPr id="6" name="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27189" cy="6333495"/>
                      <a:chOff x="180936" y="274638"/>
                      <a:chExt cx="8727189" cy="6333495"/>
                    </a:xfrm>
                  </a:grpSpPr>
                  <a:sp>
                    <a:nvSpPr>
                      <a:cNvPr id="2"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457200" rtl="0" eaLnBrk="1" latinLnBrk="0" hangingPunct="1">
                            <a:spcBef>
                              <a:spcPct val="0"/>
                            </a:spcBef>
                            <a:buNone/>
                            <a:defRPr sz="4400" kern="1200">
                              <a:solidFill>
                                <a:schemeClr val="tx1"/>
                              </a:solidFill>
                              <a:latin typeface="+mj-lt"/>
                              <a:ea typeface="+mj-ea"/>
                              <a:cs typeface="+mj-cs"/>
                            </a:defRPr>
                          </a:lvl1pPr>
                        </a:lstStyle>
                        <a:p>
                          <a:r>
                            <a:rPr lang="en-US" dirty="0" smtClean="0">
                              <a:solidFill>
                                <a:srgbClr val="984807"/>
                              </a:solidFill>
                            </a:rPr>
                            <a:t>ETD Stakeholders on the Lifecycle</a:t>
                          </a:r>
                          <a:endParaRPr lang="en-US" dirty="0">
                            <a:solidFill>
                              <a:srgbClr val="984807"/>
                            </a:solidFill>
                          </a:endParaRPr>
                        </a:p>
                      </a:txBody>
                      <a:useSpRect/>
                    </a:txSp>
                  </a:sp>
                  <a:pic>
                    <a:nvPicPr>
                      <a:cNvPr id="4" name="Picture 3"/>
                      <a:cNvPicPr>
                        <a:picLocks noChangeAspect="1"/>
                      </a:cNvPicPr>
                    </a:nvPicPr>
                    <a:blipFill>
                      <a:blip r:embed="rId5"/>
                      <a:stretch>
                        <a:fillRect/>
                      </a:stretch>
                    </a:blipFill>
                    <a:spPr>
                      <a:xfrm>
                        <a:off x="2126349" y="1178734"/>
                        <a:ext cx="5608415" cy="5024205"/>
                      </a:xfrm>
                      <a:prstGeom prst="rect">
                        <a:avLst/>
                      </a:prstGeom>
                    </a:spPr>
                  </a:pic>
                  <a:sp>
                    <a:nvSpPr>
                      <a:cNvPr id="5" name="TextBox 4"/>
                      <a:cNvSpPr txBox="1"/>
                    </a:nvSpPr>
                    <a:spPr>
                      <a:xfrm>
                        <a:off x="5537054" y="1783615"/>
                        <a:ext cx="3242632"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Student authors </a:t>
                          </a:r>
                          <a:r>
                            <a:rPr lang="en-US" i="1" dirty="0" smtClean="0"/>
                            <a:t>create</a:t>
                          </a:r>
                          <a:r>
                            <a:rPr lang="en-US" dirty="0" smtClean="0"/>
                            <a:t> &amp; </a:t>
                          </a:r>
                          <a:r>
                            <a:rPr lang="en-US" i="1" dirty="0" smtClean="0"/>
                            <a:t>submit</a:t>
                          </a:r>
                          <a:r>
                            <a:rPr lang="en-US" dirty="0" smtClean="0"/>
                            <a:t> </a:t>
                          </a:r>
                        </a:p>
                        <a:p>
                          <a:r>
                            <a:rPr lang="en-US" dirty="0" err="1" smtClean="0"/>
                            <a:t>ETDs</a:t>
                          </a:r>
                          <a:endParaRPr lang="en-US" dirty="0"/>
                        </a:p>
                      </a:txBody>
                      <a:useSpRect/>
                    </a:txSp>
                  </a:sp>
                  <a:sp>
                    <a:nvSpPr>
                      <a:cNvPr id="6" name="TextBox 5"/>
                      <a:cNvSpPr txBox="1"/>
                    </a:nvSpPr>
                    <a:spPr>
                      <a:xfrm>
                        <a:off x="6938666" y="3053548"/>
                        <a:ext cx="1969459" cy="92333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Graduate Schools  </a:t>
                          </a:r>
                        </a:p>
                        <a:p>
                          <a:r>
                            <a:rPr lang="en-US" i="1" dirty="0" smtClean="0"/>
                            <a:t>process</a:t>
                          </a:r>
                          <a:r>
                            <a:rPr lang="en-US" dirty="0" smtClean="0"/>
                            <a:t>, </a:t>
                          </a:r>
                          <a:r>
                            <a:rPr lang="en-US" i="1" dirty="0" smtClean="0"/>
                            <a:t>approve </a:t>
                          </a:r>
                          <a:r>
                            <a:rPr lang="en-US" dirty="0" smtClean="0"/>
                            <a:t>&amp;</a:t>
                          </a:r>
                          <a:endParaRPr lang="en-US" i="1" dirty="0" smtClean="0"/>
                        </a:p>
                        <a:p>
                          <a:r>
                            <a:rPr lang="en-US" i="1" dirty="0"/>
                            <a:t>e</a:t>
                          </a:r>
                          <a:r>
                            <a:rPr lang="en-US" i="1" dirty="0" smtClean="0"/>
                            <a:t>mbargo</a:t>
                          </a:r>
                          <a:r>
                            <a:rPr lang="en-US" dirty="0" smtClean="0"/>
                            <a:t> </a:t>
                          </a:r>
                          <a:r>
                            <a:rPr lang="en-US" dirty="0" err="1" smtClean="0"/>
                            <a:t>ETDs</a:t>
                          </a:r>
                          <a:endParaRPr lang="en-US" dirty="0" smtClean="0"/>
                        </a:p>
                      </a:txBody>
                      <a:useSpRect/>
                    </a:txSp>
                  </a:sp>
                  <a:sp>
                    <a:nvSpPr>
                      <a:cNvPr id="7" name="TextBox 6"/>
                      <a:cNvSpPr txBox="1"/>
                    </a:nvSpPr>
                    <a:spPr>
                      <a:xfrm>
                        <a:off x="672259" y="1645946"/>
                        <a:ext cx="2422965" cy="92333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Graduate Schools &amp; Libraries/Vendors also </a:t>
                          </a:r>
                          <a:r>
                            <a:rPr lang="en-US" i="1" dirty="0" smtClean="0"/>
                            <a:t>update </a:t>
                          </a:r>
                          <a:r>
                            <a:rPr lang="en-US" dirty="0" err="1" smtClean="0"/>
                            <a:t>ETDs</a:t>
                          </a:r>
                          <a:endParaRPr lang="en-US" dirty="0" smtClean="0"/>
                        </a:p>
                      </a:txBody>
                      <a:useSpRect/>
                    </a:txSp>
                  </a:sp>
                  <a:sp>
                    <a:nvSpPr>
                      <a:cNvPr id="8" name="TextBox 7"/>
                      <a:cNvSpPr txBox="1"/>
                    </a:nvSpPr>
                    <a:spPr>
                      <a:xfrm>
                        <a:off x="2511651" y="5921300"/>
                        <a:ext cx="4255793"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Libraries/IT/Vendors </a:t>
                          </a:r>
                          <a:r>
                            <a:rPr lang="en-US" i="1" dirty="0" smtClean="0"/>
                            <a:t>catalog</a:t>
                          </a:r>
                          <a:r>
                            <a:rPr lang="en-US" dirty="0" smtClean="0"/>
                            <a:t> &amp; </a:t>
                          </a:r>
                          <a:r>
                            <a:rPr lang="en-US" i="1" dirty="0" smtClean="0"/>
                            <a:t>archive</a:t>
                          </a:r>
                          <a:r>
                            <a:rPr lang="en-US" dirty="0" smtClean="0"/>
                            <a:t> </a:t>
                          </a:r>
                          <a:r>
                            <a:rPr lang="en-US" dirty="0" err="1" smtClean="0"/>
                            <a:t>ETDs</a:t>
                          </a:r>
                          <a:endParaRPr lang="en-US" dirty="0"/>
                        </a:p>
                      </a:txBody>
                      <a:useSpRect/>
                    </a:txSp>
                  </a:sp>
                  <a:sp>
                    <a:nvSpPr>
                      <a:cNvPr id="9" name="TextBox 8"/>
                      <a:cNvSpPr txBox="1"/>
                    </a:nvSpPr>
                    <a:spPr>
                      <a:xfrm>
                        <a:off x="180936" y="3657080"/>
                        <a:ext cx="2330715"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Libraries/IT/Vendors </a:t>
                          </a:r>
                          <a:r>
                            <a:rPr lang="en-US" i="1" dirty="0" smtClean="0"/>
                            <a:t>disseminate</a:t>
                          </a:r>
                          <a:r>
                            <a:rPr lang="en-US" dirty="0" smtClean="0"/>
                            <a:t> </a:t>
                          </a:r>
                          <a:r>
                            <a:rPr lang="en-US" dirty="0" err="1" smtClean="0"/>
                            <a:t>ETDs</a:t>
                          </a:r>
                          <a:endParaRPr lang="en-US" dirty="0"/>
                        </a:p>
                      </a:txBody>
                      <a:useSpRect/>
                    </a:txSp>
                  </a:sp>
                  <a:sp>
                    <a:nvSpPr>
                      <a:cNvPr id="10" name="TextBox 9"/>
                      <a:cNvSpPr txBox="1"/>
                    </a:nvSpPr>
                    <a:spPr>
                      <a:xfrm>
                        <a:off x="3403808" y="2873947"/>
                        <a:ext cx="2304537" cy="923330"/>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dirty="0" smtClean="0">
                              <a:solidFill>
                                <a:srgbClr val="FFFFFF"/>
                              </a:solidFill>
                            </a:rPr>
                            <a:t>ETD Program Planners</a:t>
                          </a:r>
                        </a:p>
                        <a:p>
                          <a:pPr algn="ctr"/>
                          <a:r>
                            <a:rPr lang="en-US" b="1" dirty="0">
                              <a:solidFill>
                                <a:srgbClr val="FFFFFF"/>
                              </a:solidFill>
                            </a:rPr>
                            <a:t>a</a:t>
                          </a:r>
                          <a:r>
                            <a:rPr lang="en-US" b="1" dirty="0" smtClean="0">
                              <a:solidFill>
                                <a:srgbClr val="FFFFFF"/>
                              </a:solidFill>
                            </a:rPr>
                            <a:t>nd</a:t>
                          </a:r>
                        </a:p>
                        <a:p>
                          <a:pPr algn="ctr"/>
                          <a:r>
                            <a:rPr lang="en-US" b="1" dirty="0" smtClean="0">
                              <a:solidFill>
                                <a:srgbClr val="FFFFFF"/>
                              </a:solidFill>
                            </a:rPr>
                            <a:t>Implementers</a:t>
                          </a:r>
                          <a:endParaRPr lang="en-US" b="1" dirty="0">
                            <a:solidFill>
                              <a:srgbClr val="FFFFFF"/>
                            </a:solidFill>
                          </a:endParaRPr>
                        </a:p>
                      </a:txBody>
                      <a:useSpRect/>
                    </a:txSp>
                  </a:sp>
                  <a:sp>
                    <a:nvSpPr>
                      <a:cNvPr id="11" name="Smiley Face 10"/>
                      <a:cNvSpPr>
                        <a:spLocks noChangeAspect="1"/>
                      </a:cNvSpPr>
                    </a:nvSpPr>
                    <a:spPr>
                      <a:xfrm>
                        <a:off x="6337677" y="1645946"/>
                        <a:ext cx="794073" cy="794073"/>
                      </a:xfrm>
                      <a:prstGeom prst="smileyFace">
                        <a:avLst/>
                      </a:prstGeom>
                      <a:gradFill flip="none" rotWithShape="1">
                        <a:gsLst>
                          <a:gs pos="0">
                            <a:schemeClr val="accent4">
                              <a:tint val="50000"/>
                              <a:satMod val="300000"/>
                              <a:alpha val="19000"/>
                            </a:schemeClr>
                          </a:gs>
                          <a:gs pos="35000">
                            <a:schemeClr val="accent4">
                              <a:tint val="37000"/>
                              <a:satMod val="300000"/>
                              <a:alpha val="19000"/>
                            </a:schemeClr>
                          </a:gs>
                          <a:gs pos="100000">
                            <a:schemeClr val="accent4">
                              <a:tint val="15000"/>
                              <a:satMod val="350000"/>
                              <a:alpha val="19000"/>
                            </a:schemeClr>
                          </a:gs>
                        </a:gsLst>
                        <a:lin ang="16200000" scaled="1"/>
                        <a:tileRect/>
                      </a:gradFill>
                      <a:ln>
                        <a:solidFill>
                          <a:schemeClr val="accent4">
                            <a:shade val="95000"/>
                            <a:satMod val="105000"/>
                          </a:schemeClr>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4"/>
                      </a:lnRef>
                      <a:fillRef idx="2">
                        <a:schemeClr val="accent4"/>
                      </a:fillRef>
                      <a:effectRef idx="1">
                        <a:schemeClr val="accent4"/>
                      </a:effectRef>
                      <a:fontRef idx="minor">
                        <a:schemeClr val="dk1"/>
                      </a:fontRef>
                    </a:style>
                  </a:sp>
                  <a:sp>
                    <a:nvSpPr>
                      <a:cNvPr id="12" name="Internal Storage 11"/>
                      <a:cNvSpPr/>
                    </a:nvSpPr>
                    <a:spPr>
                      <a:xfrm>
                        <a:off x="7734764" y="2239352"/>
                        <a:ext cx="846692" cy="814196"/>
                      </a:xfrm>
                      <a:prstGeom prst="flowChartInternalStorage">
                        <a:avLst/>
                      </a:prstGeom>
                      <a:gradFill flip="none" rotWithShape="1">
                        <a:gsLst>
                          <a:gs pos="0">
                            <a:schemeClr val="accent2">
                              <a:tint val="100000"/>
                              <a:shade val="100000"/>
                              <a:satMod val="130000"/>
                              <a:alpha val="19000"/>
                            </a:schemeClr>
                          </a:gs>
                          <a:gs pos="100000">
                            <a:schemeClr val="accent2">
                              <a:tint val="50000"/>
                              <a:shade val="100000"/>
                              <a:satMod val="350000"/>
                              <a:alpha val="19000"/>
                            </a:schemeClr>
                          </a:gs>
                        </a:gsLst>
                        <a:lin ang="16200000" scaled="0"/>
                        <a:tileRect/>
                      </a:gra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900" dirty="0" smtClean="0"/>
                        </a:p>
                        <a:p>
                          <a:pPr algn="ctr"/>
                          <a:endParaRPr lang="en-US" sz="900" dirty="0" smtClean="0"/>
                        </a:p>
                        <a:p>
                          <a:pPr algn="ctr"/>
                          <a:r>
                            <a:rPr lang="en-US" sz="900" dirty="0" smtClean="0">
                              <a:solidFill>
                                <a:srgbClr val="000000"/>
                              </a:solidFill>
                            </a:rPr>
                            <a:t>Submission System</a:t>
                          </a:r>
                          <a:endParaRPr lang="en-US" sz="900" dirty="0">
                            <a:solidFill>
                              <a:srgbClr val="000000"/>
                            </a:solidFill>
                          </a:endParaRPr>
                        </a:p>
                      </a:txBody>
                      <a:useSpRect/>
                    </a:txSp>
                    <a:style>
                      <a:lnRef idx="1">
                        <a:schemeClr val="accent2"/>
                      </a:lnRef>
                      <a:fillRef idx="3">
                        <a:schemeClr val="accent2"/>
                      </a:fillRef>
                      <a:effectRef idx="2">
                        <a:schemeClr val="accent2"/>
                      </a:effectRef>
                      <a:fontRef idx="minor">
                        <a:schemeClr val="lt1"/>
                      </a:fontRef>
                    </a:style>
                  </a:sp>
                  <a:sp>
                    <a:nvSpPr>
                      <a:cNvPr id="13" name="Round Same Side Corner Rectangle 12"/>
                      <a:cNvSpPr>
                        <a:spLocks noChangeAspect="1"/>
                      </a:cNvSpPr>
                    </a:nvSpPr>
                    <a:spPr>
                      <a:xfrm>
                        <a:off x="1113932" y="1703520"/>
                        <a:ext cx="1170427" cy="1170427"/>
                      </a:xfrm>
                      <a:prstGeom prst="round2SameRect">
                        <a:avLst/>
                      </a:prstGeom>
                      <a:gradFill flip="none" rotWithShape="1">
                        <a:gsLst>
                          <a:gs pos="0">
                            <a:schemeClr val="accent2">
                              <a:tint val="100000"/>
                              <a:shade val="100000"/>
                              <a:satMod val="130000"/>
                              <a:alpha val="19000"/>
                            </a:schemeClr>
                          </a:gs>
                          <a:gs pos="100000">
                            <a:schemeClr val="accent2">
                              <a:tint val="50000"/>
                              <a:shade val="100000"/>
                              <a:satMod val="350000"/>
                              <a:alpha val="19000"/>
                            </a:schemeClr>
                          </a:gs>
                        </a:gsLst>
                        <a:lin ang="16200000" scaled="0"/>
                        <a:tileRect/>
                      </a:gra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200" dirty="0" smtClean="0"/>
                        </a:p>
                        <a:p>
                          <a:pPr algn="ctr"/>
                          <a:endParaRPr lang="en-US" sz="1200" dirty="0" smtClean="0"/>
                        </a:p>
                        <a:p>
                          <a:pPr algn="ctr"/>
                          <a:endParaRPr lang="en-US" sz="1200" dirty="0" smtClean="0"/>
                        </a:p>
                        <a:p>
                          <a:pPr algn="ctr"/>
                          <a:endParaRPr lang="en-US" sz="1000" dirty="0" smtClean="0">
                            <a:solidFill>
                              <a:srgbClr val="000000"/>
                            </a:solidFill>
                          </a:endParaRPr>
                        </a:p>
                        <a:p>
                          <a:pPr algn="ctr"/>
                          <a:r>
                            <a:rPr lang="en-US" sz="1000" dirty="0" smtClean="0">
                              <a:solidFill>
                                <a:srgbClr val="000000"/>
                              </a:solidFill>
                            </a:rPr>
                            <a:t>Graduate  School</a:t>
                          </a:r>
                          <a:endParaRPr lang="en-US" sz="1000" dirty="0">
                            <a:solidFill>
                              <a:srgbClr val="000000"/>
                            </a:solidFill>
                          </a:endParaRPr>
                        </a:p>
                      </a:txBody>
                      <a:useSpRect/>
                    </a:txSp>
                    <a:style>
                      <a:lnRef idx="1">
                        <a:schemeClr val="accent2"/>
                      </a:lnRef>
                      <a:fillRef idx="3">
                        <a:schemeClr val="accent2"/>
                      </a:fillRef>
                      <a:effectRef idx="2">
                        <a:schemeClr val="accent2"/>
                      </a:effectRef>
                      <a:fontRef idx="minor">
                        <a:schemeClr val="lt1"/>
                      </a:fontRef>
                    </a:style>
                  </a:sp>
                  <a:sp>
                    <a:nvSpPr>
                      <a:cNvPr id="14" name="Round Same Side Corner Rectangle 13"/>
                      <a:cNvSpPr>
                        <a:spLocks noChangeAspect="1"/>
                      </a:cNvSpPr>
                    </a:nvSpPr>
                    <a:spPr>
                      <a:xfrm>
                        <a:off x="6694597" y="4821673"/>
                        <a:ext cx="1170427" cy="1170427"/>
                      </a:xfrm>
                      <a:prstGeom prst="round2SameRect">
                        <a:avLst/>
                      </a:prstGeom>
                      <a:gradFill flip="none" rotWithShape="1">
                        <a:gsLst>
                          <a:gs pos="0">
                            <a:schemeClr val="accent3">
                              <a:tint val="100000"/>
                              <a:shade val="100000"/>
                              <a:satMod val="130000"/>
                              <a:alpha val="19000"/>
                            </a:schemeClr>
                          </a:gs>
                          <a:gs pos="100000">
                            <a:schemeClr val="accent3">
                              <a:tint val="50000"/>
                              <a:shade val="100000"/>
                              <a:satMod val="350000"/>
                              <a:alpha val="19000"/>
                            </a:schemeClr>
                          </a:gs>
                        </a:gsLst>
                        <a:lin ang="16200000" scaled="0"/>
                        <a:tileRect/>
                      </a:gra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000" dirty="0" smtClean="0"/>
                        </a:p>
                        <a:p>
                          <a:pPr algn="ctr"/>
                          <a:endParaRPr lang="en-US" sz="1000" dirty="0" smtClean="0"/>
                        </a:p>
                        <a:p>
                          <a:pPr algn="ctr"/>
                          <a:endParaRPr lang="en-US" sz="1000" dirty="0" smtClean="0"/>
                        </a:p>
                        <a:p>
                          <a:pPr algn="ctr"/>
                          <a:endParaRPr lang="en-US" sz="1000" dirty="0" smtClean="0"/>
                        </a:p>
                        <a:p>
                          <a:pPr algn="ctr"/>
                          <a:endParaRPr lang="en-US" sz="1000" dirty="0" smtClean="0">
                            <a:solidFill>
                              <a:schemeClr val="tx1"/>
                            </a:solidFill>
                          </a:endParaRPr>
                        </a:p>
                        <a:p>
                          <a:pPr algn="ctr"/>
                          <a:r>
                            <a:rPr lang="en-US" sz="1000" dirty="0" smtClean="0">
                              <a:solidFill>
                                <a:schemeClr val="tx1"/>
                              </a:solidFill>
                            </a:rPr>
                            <a:t>Library/IT</a:t>
                          </a:r>
                          <a:endParaRPr lang="en-US" sz="10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15" name="Round Same Side Corner Rectangle 14"/>
                      <a:cNvSpPr>
                        <a:spLocks noChangeAspect="1"/>
                      </a:cNvSpPr>
                    </a:nvSpPr>
                    <a:spPr>
                      <a:xfrm>
                        <a:off x="955922" y="4236459"/>
                        <a:ext cx="1170427" cy="1170427"/>
                      </a:xfrm>
                      <a:prstGeom prst="round2SameRect">
                        <a:avLst/>
                      </a:prstGeom>
                      <a:gradFill flip="none" rotWithShape="1">
                        <a:gsLst>
                          <a:gs pos="0">
                            <a:schemeClr val="accent3">
                              <a:tint val="100000"/>
                              <a:shade val="100000"/>
                              <a:satMod val="130000"/>
                              <a:alpha val="19000"/>
                            </a:schemeClr>
                          </a:gs>
                          <a:gs pos="100000">
                            <a:schemeClr val="accent3">
                              <a:tint val="50000"/>
                              <a:shade val="100000"/>
                              <a:satMod val="350000"/>
                              <a:alpha val="19000"/>
                            </a:schemeClr>
                          </a:gs>
                        </a:gsLst>
                        <a:lin ang="16200000" scaled="0"/>
                        <a:tileRect/>
                      </a:gra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000" dirty="0" smtClean="0"/>
                        </a:p>
                        <a:p>
                          <a:pPr algn="ctr"/>
                          <a:endParaRPr lang="en-US" sz="1000" dirty="0" smtClean="0"/>
                        </a:p>
                        <a:p>
                          <a:pPr algn="ctr"/>
                          <a:endParaRPr lang="en-US" sz="1000" dirty="0" smtClean="0"/>
                        </a:p>
                        <a:p>
                          <a:pPr algn="ctr"/>
                          <a:endParaRPr lang="en-US" sz="1000" dirty="0" smtClean="0"/>
                        </a:p>
                        <a:p>
                          <a:pPr algn="ctr"/>
                          <a:endParaRPr lang="en-US" sz="1000" dirty="0" smtClean="0">
                            <a:solidFill>
                              <a:schemeClr val="tx1"/>
                            </a:solidFill>
                          </a:endParaRPr>
                        </a:p>
                        <a:p>
                          <a:pPr algn="ctr"/>
                          <a:r>
                            <a:rPr lang="en-US" sz="1000" dirty="0" smtClean="0">
                              <a:solidFill>
                                <a:schemeClr val="tx1"/>
                              </a:solidFill>
                            </a:rPr>
                            <a:t>Library/IT</a:t>
                          </a:r>
                          <a:endParaRPr lang="en-US" sz="10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16" name="Magnetic Disk 15"/>
                      <a:cNvSpPr>
                        <a:spLocks noChangeAspect="1"/>
                      </a:cNvSpPr>
                    </a:nvSpPr>
                    <a:spPr>
                      <a:xfrm>
                        <a:off x="4724886" y="5776032"/>
                        <a:ext cx="1241946" cy="832101"/>
                      </a:xfrm>
                      <a:prstGeom prst="flowChartMagneticDisk">
                        <a:avLst/>
                      </a:prstGeom>
                      <a:gradFill flip="none" rotWithShape="1">
                        <a:gsLst>
                          <a:gs pos="0">
                            <a:schemeClr val="accent2">
                              <a:tint val="50000"/>
                              <a:satMod val="300000"/>
                              <a:alpha val="19000"/>
                            </a:schemeClr>
                          </a:gs>
                          <a:gs pos="35000">
                            <a:schemeClr val="accent2">
                              <a:tint val="37000"/>
                              <a:satMod val="300000"/>
                              <a:alpha val="19000"/>
                            </a:schemeClr>
                          </a:gs>
                          <a:gs pos="100000">
                            <a:schemeClr val="accent2">
                              <a:tint val="15000"/>
                              <a:satMod val="350000"/>
                              <a:alpha val="19000"/>
                            </a:schemeClr>
                          </a:gs>
                        </a:gsLst>
                        <a:lin ang="16200000" scaled="1"/>
                        <a:tileRect/>
                      </a:gradFill>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sz="1000" dirty="0" smtClean="0"/>
                        </a:p>
                        <a:p>
                          <a:pPr algn="ctr"/>
                          <a:r>
                            <a:rPr lang="en-US" sz="1000" dirty="0" smtClean="0"/>
                            <a:t>	Institutional 	Repository</a:t>
                          </a:r>
                          <a:endParaRPr lang="en-US" sz="1000" dirty="0"/>
                        </a:p>
                      </a:txBody>
                      <a:useSpRect/>
                    </a:txSp>
                    <a:style>
                      <a:lnRef idx="1">
                        <a:schemeClr val="accent2"/>
                      </a:lnRef>
                      <a:fillRef idx="2">
                        <a:schemeClr val="accent2"/>
                      </a:fillRef>
                      <a:effectRef idx="1">
                        <a:schemeClr val="accent2"/>
                      </a:effectRef>
                      <a:fontRef idx="minor">
                        <a:schemeClr val="dk1"/>
                      </a:fontRef>
                    </a:style>
                  </a:sp>
                  <a:sp>
                    <a:nvSpPr>
                      <a:cNvPr id="17" name="Magnetic Disk 16"/>
                      <a:cNvSpPr>
                        <a:spLocks noChangeAspect="1"/>
                      </a:cNvSpPr>
                    </a:nvSpPr>
                    <a:spPr>
                      <a:xfrm>
                        <a:off x="3046217" y="5765793"/>
                        <a:ext cx="1241946" cy="832101"/>
                      </a:xfrm>
                      <a:prstGeom prst="flowChartMagneticDisk">
                        <a:avLst/>
                      </a:prstGeom>
                      <a:gradFill flip="none" rotWithShape="1">
                        <a:gsLst>
                          <a:gs pos="0">
                            <a:schemeClr val="accent1">
                              <a:tint val="100000"/>
                              <a:shade val="100000"/>
                              <a:satMod val="130000"/>
                              <a:alpha val="19000"/>
                            </a:schemeClr>
                          </a:gs>
                          <a:gs pos="100000">
                            <a:schemeClr val="accent1">
                              <a:tint val="50000"/>
                              <a:shade val="100000"/>
                              <a:satMod val="350000"/>
                              <a:alpha val="19000"/>
                            </a:schemeClr>
                          </a:gs>
                        </a:gsLst>
                        <a:lin ang="16200000" scaled="0"/>
                        <a:tileRect/>
                      </a:gra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200" dirty="0" smtClean="0">
                            <a:solidFill>
                              <a:srgbClr val="000000"/>
                            </a:solidFill>
                          </a:endParaRPr>
                        </a:p>
                        <a:p>
                          <a:pPr algn="ctr"/>
                          <a:r>
                            <a:rPr lang="en-US" sz="1000" dirty="0" err="1" smtClean="0">
                              <a:solidFill>
                                <a:srgbClr val="000000"/>
                              </a:solidFill>
                            </a:rPr>
                            <a:t>ProQuest</a:t>
                          </a:r>
                          <a:r>
                            <a:rPr lang="en-US" sz="1000" dirty="0" smtClean="0">
                              <a:solidFill>
                                <a:srgbClr val="000000"/>
                              </a:solidFill>
                            </a:rPr>
                            <a:t>/Vendors</a:t>
                          </a:r>
                          <a:endParaRPr lang="en-US" sz="1000"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8" name="Magnetic Disk 17"/>
                      <a:cNvSpPr>
                        <a:spLocks noChangeAspect="1"/>
                      </a:cNvSpPr>
                    </a:nvSpPr>
                    <a:spPr>
                      <a:xfrm>
                        <a:off x="492959" y="3053548"/>
                        <a:ext cx="1241946" cy="832101"/>
                      </a:xfrm>
                      <a:prstGeom prst="flowChartMagneticDisk">
                        <a:avLst/>
                      </a:prstGeom>
                      <a:gradFill flip="none" rotWithShape="1">
                        <a:gsLst>
                          <a:gs pos="0">
                            <a:schemeClr val="accent1">
                              <a:tint val="100000"/>
                              <a:shade val="100000"/>
                              <a:satMod val="130000"/>
                              <a:alpha val="19000"/>
                            </a:schemeClr>
                          </a:gs>
                          <a:gs pos="100000">
                            <a:schemeClr val="accent1">
                              <a:tint val="50000"/>
                              <a:shade val="100000"/>
                              <a:satMod val="350000"/>
                              <a:alpha val="19000"/>
                            </a:schemeClr>
                          </a:gs>
                        </a:gsLst>
                        <a:lin ang="16200000" scaled="0"/>
                        <a:tileRect/>
                      </a:gra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200" dirty="0" smtClean="0">
                            <a:solidFill>
                              <a:srgbClr val="000000"/>
                            </a:solidFill>
                          </a:endParaRPr>
                        </a:p>
                        <a:p>
                          <a:pPr algn="ctr"/>
                          <a:r>
                            <a:rPr lang="en-US" sz="1000" dirty="0" err="1" smtClean="0">
                              <a:solidFill>
                                <a:srgbClr val="000000"/>
                              </a:solidFill>
                            </a:rPr>
                            <a:t>ProQuest</a:t>
                          </a:r>
                          <a:r>
                            <a:rPr lang="en-US" sz="1000" dirty="0" smtClean="0">
                              <a:solidFill>
                                <a:srgbClr val="000000"/>
                              </a:solidFill>
                            </a:rPr>
                            <a:t>/Vendors</a:t>
                          </a:r>
                          <a:endParaRPr lang="en-US" sz="1000"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9" name="Multidocument 18"/>
                      <a:cNvSpPr/>
                    </a:nvSpPr>
                    <a:spPr>
                      <a:xfrm>
                        <a:off x="5760586" y="2590937"/>
                        <a:ext cx="412491" cy="607913"/>
                      </a:xfrm>
                      <a:prstGeom prst="flowChartMultidocumen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a:sp>
                    <a:nvSpPr>
                      <a:cNvPr id="20" name="Multidocument 19"/>
                      <a:cNvSpPr/>
                    </a:nvSpPr>
                    <a:spPr>
                      <a:xfrm>
                        <a:off x="5966831" y="4213760"/>
                        <a:ext cx="412491" cy="607913"/>
                      </a:xfrm>
                      <a:prstGeom prst="flowChartMultidocumen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a:sp>
                    <a:nvSpPr>
                      <a:cNvPr id="21" name="Multidocument 20"/>
                      <a:cNvSpPr/>
                    </a:nvSpPr>
                    <a:spPr>
                      <a:xfrm>
                        <a:off x="4312395" y="5313387"/>
                        <a:ext cx="412491" cy="607913"/>
                      </a:xfrm>
                      <a:prstGeom prst="flowChartMultidocumen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a:sp>
                    <a:nvSpPr>
                      <a:cNvPr id="22" name="Multidocument 21"/>
                      <a:cNvSpPr/>
                    </a:nvSpPr>
                    <a:spPr>
                      <a:xfrm>
                        <a:off x="2682733" y="4303411"/>
                        <a:ext cx="412491" cy="607913"/>
                      </a:xfrm>
                      <a:prstGeom prst="flowChartMultidocumen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a:sp>
                    <a:nvSpPr>
                      <a:cNvPr id="23" name="Multidocument 22"/>
                      <a:cNvSpPr/>
                    </a:nvSpPr>
                    <a:spPr>
                      <a:xfrm>
                        <a:off x="2888978" y="2569276"/>
                        <a:ext cx="412491" cy="607913"/>
                      </a:xfrm>
                      <a:prstGeom prst="flowChartMultidocument">
                        <a:avLst/>
                      </a:prstGeom>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BE7332" w:rsidRPr="003449D2" w:rsidRDefault="00887907" w:rsidP="00FC549A">
      <w:pPr>
        <w:jc w:val="center"/>
        <w:rPr>
          <w:rFonts w:ascii="Arial" w:hAnsi="Arial"/>
          <w:sz w:val="22"/>
        </w:rPr>
      </w:pPr>
      <w:hyperlink r:id="rId6" w:history="1">
        <w:r w:rsidR="003449D2" w:rsidRPr="003449D2">
          <w:rPr>
            <w:rStyle w:val="Hyperlink"/>
            <w:rFonts w:ascii="Arial" w:hAnsi="Arial"/>
            <w:sz w:val="22"/>
          </w:rPr>
          <w:t>http://www.dcc.ac.uk/resources/curation-lifecycle-</w:t>
        </w:r>
      </w:hyperlink>
      <w:hyperlink r:id="rId7" w:history="1">
        <w:r w:rsidR="003449D2" w:rsidRPr="003449D2">
          <w:rPr>
            <w:rStyle w:val="Hyperlink"/>
            <w:rFonts w:ascii="Arial" w:hAnsi="Arial"/>
            <w:sz w:val="22"/>
          </w:rPr>
          <w:t>model</w:t>
        </w:r>
      </w:hyperlink>
    </w:p>
    <w:sectPr w:rsidR="00BE7332" w:rsidRPr="003449D2" w:rsidSect="003449D2">
      <w:headerReference w:type="even" r:id="rId8"/>
      <w:headerReference w:type="default" r:id="rId9"/>
      <w:footerReference w:type="default" r:id="rId10"/>
      <w:headerReference w:type="firs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A" w:rsidRDefault="00177B89" w:rsidP="00FC549A">
    <w:pPr>
      <w:pStyle w:val="Footer"/>
      <w:jc w:val="center"/>
    </w:pPr>
    <w:r w:rsidRPr="00177B89">
      <w:drawing>
        <wp:inline distT="0" distB="0" distL="0" distR="0">
          <wp:extent cx="4879181" cy="1446149"/>
          <wp:effectExtent l="25400" t="0" r="0" b="0"/>
          <wp:docPr id="1"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A" w:rsidRDefault="0088790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50.75pt;rotation:315;z-index:-251654144;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3F" w:rsidRPr="00BF743F" w:rsidRDefault="00887907" w:rsidP="00BF743F">
    <w:pPr>
      <w:pStyle w:val="Header"/>
      <w:jc w:val="center"/>
      <w:rPr>
        <w:rFonts w:ascii="Arial" w:hAnsi="Arial"/>
        <w:b/>
        <w:sz w:val="28"/>
      </w:rPr>
    </w:pPr>
    <w:r w:rsidRPr="00887907">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609.1pt;height:50.75pt;rotation:315;z-index:-251656192;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r w:rsidR="00BF743F" w:rsidRPr="00BF743F">
      <w:rPr>
        <w:rFonts w:ascii="Arial" w:hAnsi="Arial"/>
        <w:b/>
        <w:sz w:val="28"/>
      </w:rPr>
      <w:t>Life</w:t>
    </w:r>
    <w:r w:rsidR="00F86507">
      <w:rPr>
        <w:rFonts w:ascii="Arial" w:hAnsi="Arial"/>
        <w:b/>
        <w:sz w:val="28"/>
      </w:rPr>
      <w:t xml:space="preserve">cycle Management of </w:t>
    </w:r>
    <w:proofErr w:type="spellStart"/>
    <w:r w:rsidR="00F86507">
      <w:rPr>
        <w:rFonts w:ascii="Arial" w:hAnsi="Arial"/>
        <w:b/>
        <w:sz w:val="28"/>
      </w:rPr>
      <w:t>ETDs</w:t>
    </w:r>
    <w:proofErr w:type="spellEnd"/>
    <w:r w:rsidR="00F86507">
      <w:rPr>
        <w:rFonts w:ascii="Arial" w:hAnsi="Arial"/>
        <w:b/>
        <w:sz w:val="28"/>
      </w:rPr>
      <w:t xml:space="preserve"> Workshop</w:t>
    </w:r>
  </w:p>
  <w:p w:rsidR="00BF743F" w:rsidRDefault="00BF743F" w:rsidP="00BF743F">
    <w:pPr>
      <w:pStyle w:val="Header"/>
      <w:jc w:val="center"/>
      <w:rPr>
        <w:rFonts w:ascii="Arial" w:hAnsi="Arial"/>
        <w:b/>
      </w:rPr>
    </w:pPr>
    <w:r w:rsidRPr="00F1542E">
      <w:rPr>
        <w:rFonts w:ascii="Arial" w:hAnsi="Arial"/>
        <w:b/>
      </w:rPr>
      <w:t>Module 1: ETD Lifecycle Management – Interactive Overview</w:t>
    </w:r>
  </w:p>
  <w:p w:rsidR="00BF743F" w:rsidRDefault="00BF743F" w:rsidP="00BF743F">
    <w:pPr>
      <w:pStyle w:val="Header"/>
      <w:jc w:val="center"/>
    </w:pPr>
    <w:r>
      <w:rPr>
        <w:rFonts w:ascii="Arial" w:hAnsi="Arial"/>
        <w:b/>
      </w:rPr>
      <w:t>Handout</w:t>
    </w:r>
    <w:r w:rsidR="00FC549A">
      <w:rPr>
        <w:rFonts w:ascii="Arial" w:hAnsi="Arial"/>
        <w:b/>
      </w:rPr>
      <w:t xml:space="preserve"> Example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9A" w:rsidRDefault="0088790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50.75pt;rotation:315;z-index:-251652096;mso-wrap-edited:f;mso-position-horizontal:center;mso-position-horizontal-relative:margin;mso-position-vertical:center;mso-position-vertical-relative:margin" wrapcoords="21520 7941 20988 5082 20615 3176 20429 5082 20296 6670 20057 5082 19471 2541 19259 4129 19099 7941 18966 8576 18833 10164 18780 11435 18487 8576 17663 3811 17423 4447 17343 5400 17264 7623 16838 4764 16519 3811 16545 6035 16519 12705 15561 7623 14710 5717 14524 7623 14470 9847 14603 11752 13752 7623 13539 8258 13327 10800 13034 8258 12715 7623 12582 9211 12396 8258 11943 7623 11571 4447 10986 4447 10826 4764 10081 2858 9895 4129 10028 7305 9336 8258 9124 10800 8858 8576 8033 3811 7368 4447 7341 4447 7395 11435 6570 8258 5878 8258 5293 2858 5133 4447 5213 7623 4176 8258 4149 8576 4256 10482 3857 8258 3617 7623 3537 8894 3298 7941 1649 7941 1356 6670 744 4447 133 4447 53 4764 53 8894 133 11435 53 15882 79 16199 186 17470 1808 17470 1835 16835 2367 18423 2500 17788 3591 17470 3830 19058 4468 22870 4867 17470 6144 18105 6756 17470 6756 11435 7474 18423 7767 17152 7661 15247 7687 14929 8006 13023 8538 18105 8884 17152 8964 16199 9044 16835 9629 18423 9709 17470 10267 17470 10267 10482 10267 10164 11225 17470 11252 17152 11172 13658 11305 15247 11997 18423 12076 17470 12103 11117 12103 10482 12768 18105 13114 16835 13273 16835 13805 18105 14018 15882 14071 12705 14337 15247 14949 18423 15082 17152 15694 17470 15933 14929 15960 13658 16625 18423 16838 16835 16758 15247 17476 17788 17503 17470 17742 17470 17663 12070 18168 18105 18540 16835 18673 16835 19232 18105 19338 17470 19897 17470 20828 21917 20908 21917 21200 18423 21387 13658 21626 9211 21520 7941" fillcolor="black" stroked="f">
          <v:fill opacity="14417f"/>
          <v:textpath style="font-family:&quot;Cambria&quot;;font-size:1pt" string="Example: Feel Free to Modif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EE1"/>
    <w:multiLevelType w:val="hybridMultilevel"/>
    <w:tmpl w:val="133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7044"/>
    <w:multiLevelType w:val="hybridMultilevel"/>
    <w:tmpl w:val="3AD8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BF743F"/>
    <w:rsid w:val="00177B89"/>
    <w:rsid w:val="003449D2"/>
    <w:rsid w:val="00615B4B"/>
    <w:rsid w:val="00887907"/>
    <w:rsid w:val="00971584"/>
    <w:rsid w:val="00A720E1"/>
    <w:rsid w:val="00AE56AE"/>
    <w:rsid w:val="00BF743F"/>
    <w:rsid w:val="00F86507"/>
    <w:rsid w:val="00FC549A"/>
  </w:rsids>
  <m:mathPr>
    <m:mathFont m:val="Cambria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412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E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E63C9"/>
    <w:rPr>
      <w:rFonts w:ascii="Lucida Grande" w:hAnsi="Lucida Grande" w:cs="Lucida Grande"/>
      <w:sz w:val="18"/>
      <w:szCs w:val="18"/>
    </w:rPr>
  </w:style>
  <w:style w:type="paragraph" w:styleId="ListParagraph">
    <w:name w:val="List Paragraph"/>
    <w:basedOn w:val="Normal"/>
    <w:uiPriority w:val="34"/>
    <w:qFormat/>
    <w:rsid w:val="00BF743F"/>
    <w:pPr>
      <w:ind w:left="720"/>
      <w:contextualSpacing/>
    </w:pPr>
  </w:style>
  <w:style w:type="paragraph" w:styleId="Header">
    <w:name w:val="header"/>
    <w:basedOn w:val="Normal"/>
    <w:link w:val="HeaderChar"/>
    <w:uiPriority w:val="99"/>
    <w:semiHidden/>
    <w:unhideWhenUsed/>
    <w:rsid w:val="00BF743F"/>
    <w:pPr>
      <w:tabs>
        <w:tab w:val="center" w:pos="4320"/>
        <w:tab w:val="right" w:pos="8640"/>
      </w:tabs>
    </w:pPr>
  </w:style>
  <w:style w:type="character" w:customStyle="1" w:styleId="HeaderChar">
    <w:name w:val="Header Char"/>
    <w:basedOn w:val="DefaultParagraphFont"/>
    <w:link w:val="Header"/>
    <w:uiPriority w:val="99"/>
    <w:semiHidden/>
    <w:rsid w:val="00BF743F"/>
  </w:style>
  <w:style w:type="paragraph" w:styleId="Footer">
    <w:name w:val="footer"/>
    <w:basedOn w:val="Normal"/>
    <w:link w:val="FooterChar"/>
    <w:uiPriority w:val="99"/>
    <w:semiHidden/>
    <w:unhideWhenUsed/>
    <w:rsid w:val="00BF743F"/>
    <w:pPr>
      <w:tabs>
        <w:tab w:val="center" w:pos="4320"/>
        <w:tab w:val="right" w:pos="8640"/>
      </w:tabs>
    </w:pPr>
  </w:style>
  <w:style w:type="character" w:customStyle="1" w:styleId="FooterChar">
    <w:name w:val="Footer Char"/>
    <w:basedOn w:val="DefaultParagraphFont"/>
    <w:link w:val="Footer"/>
    <w:uiPriority w:val="99"/>
    <w:semiHidden/>
    <w:rsid w:val="00BF743F"/>
  </w:style>
  <w:style w:type="character" w:styleId="Hyperlink">
    <w:name w:val="Hyperlink"/>
    <w:basedOn w:val="DefaultParagraphFont"/>
    <w:rsid w:val="003449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2748285">
      <w:bodyDiv w:val="1"/>
      <w:marLeft w:val="0"/>
      <w:marRight w:val="0"/>
      <w:marTop w:val="0"/>
      <w:marBottom w:val="0"/>
      <w:divBdr>
        <w:top w:val="none" w:sz="0" w:space="0" w:color="auto"/>
        <w:left w:val="none" w:sz="0" w:space="0" w:color="auto"/>
        <w:bottom w:val="none" w:sz="0" w:space="0" w:color="auto"/>
        <w:right w:val="none" w:sz="0" w:space="0" w:color="auto"/>
      </w:divBdr>
    </w:div>
    <w:div w:id="1307667687">
      <w:bodyDiv w:val="1"/>
      <w:marLeft w:val="0"/>
      <w:marRight w:val="0"/>
      <w:marTop w:val="0"/>
      <w:marBottom w:val="0"/>
      <w:divBdr>
        <w:top w:val="none" w:sz="0" w:space="0" w:color="auto"/>
        <w:left w:val="none" w:sz="0" w:space="0" w:color="auto"/>
        <w:bottom w:val="none" w:sz="0" w:space="0" w:color="auto"/>
        <w:right w:val="none" w:sz="0" w:space="0" w:color="auto"/>
      </w:divBdr>
      <w:divsChild>
        <w:div w:id="492768217">
          <w:marLeft w:val="1166"/>
          <w:marRight w:val="0"/>
          <w:marTop w:val="0"/>
          <w:marBottom w:val="0"/>
          <w:divBdr>
            <w:top w:val="none" w:sz="0" w:space="0" w:color="auto"/>
            <w:left w:val="none" w:sz="0" w:space="0" w:color="auto"/>
            <w:bottom w:val="none" w:sz="0" w:space="0" w:color="auto"/>
            <w:right w:val="none" w:sz="0" w:space="0" w:color="auto"/>
          </w:divBdr>
        </w:div>
        <w:div w:id="147020966">
          <w:marLeft w:val="1166"/>
          <w:marRight w:val="0"/>
          <w:marTop w:val="0"/>
          <w:marBottom w:val="0"/>
          <w:divBdr>
            <w:top w:val="none" w:sz="0" w:space="0" w:color="auto"/>
            <w:left w:val="none" w:sz="0" w:space="0" w:color="auto"/>
            <w:bottom w:val="none" w:sz="0" w:space="0" w:color="auto"/>
            <w:right w:val="none" w:sz="0" w:space="0" w:color="auto"/>
          </w:divBdr>
        </w:div>
        <w:div w:id="1782602761">
          <w:marLeft w:val="1166"/>
          <w:marRight w:val="0"/>
          <w:marTop w:val="0"/>
          <w:marBottom w:val="0"/>
          <w:divBdr>
            <w:top w:val="none" w:sz="0" w:space="0" w:color="auto"/>
            <w:left w:val="none" w:sz="0" w:space="0" w:color="auto"/>
            <w:bottom w:val="none" w:sz="0" w:space="0" w:color="auto"/>
            <w:right w:val="none" w:sz="0" w:space="0" w:color="auto"/>
          </w:divBdr>
        </w:div>
        <w:div w:id="1768883219">
          <w:marLeft w:val="1166"/>
          <w:marRight w:val="0"/>
          <w:marTop w:val="0"/>
          <w:marBottom w:val="0"/>
          <w:divBdr>
            <w:top w:val="none" w:sz="0" w:space="0" w:color="auto"/>
            <w:left w:val="none" w:sz="0" w:space="0" w:color="auto"/>
            <w:bottom w:val="none" w:sz="0" w:space="0" w:color="auto"/>
            <w:right w:val="none" w:sz="0" w:space="0" w:color="auto"/>
          </w:divBdr>
        </w:div>
        <w:div w:id="1405882840">
          <w:marLeft w:val="1166"/>
          <w:marRight w:val="0"/>
          <w:marTop w:val="0"/>
          <w:marBottom w:val="0"/>
          <w:divBdr>
            <w:top w:val="none" w:sz="0" w:space="0" w:color="auto"/>
            <w:left w:val="none" w:sz="0" w:space="0" w:color="auto"/>
            <w:bottom w:val="none" w:sz="0" w:space="0" w:color="auto"/>
            <w:right w:val="none" w:sz="0" w:space="0" w:color="auto"/>
          </w:divBdr>
        </w:div>
        <w:div w:id="548762874">
          <w:marLeft w:val="1166"/>
          <w:marRight w:val="0"/>
          <w:marTop w:val="0"/>
          <w:marBottom w:val="0"/>
          <w:divBdr>
            <w:top w:val="none" w:sz="0" w:space="0" w:color="auto"/>
            <w:left w:val="none" w:sz="0" w:space="0" w:color="auto"/>
            <w:bottom w:val="none" w:sz="0" w:space="0" w:color="auto"/>
            <w:right w:val="none" w:sz="0" w:space="0" w:color="auto"/>
          </w:divBdr>
        </w:div>
        <w:div w:id="1123495935">
          <w:marLeft w:val="1166"/>
          <w:marRight w:val="0"/>
          <w:marTop w:val="0"/>
          <w:marBottom w:val="0"/>
          <w:divBdr>
            <w:top w:val="none" w:sz="0" w:space="0" w:color="auto"/>
            <w:left w:val="none" w:sz="0" w:space="0" w:color="auto"/>
            <w:bottom w:val="none" w:sz="0" w:space="0" w:color="auto"/>
            <w:right w:val="none" w:sz="0" w:space="0" w:color="auto"/>
          </w:divBdr>
        </w:div>
      </w:divsChild>
    </w:div>
    <w:div w:id="1415860987">
      <w:bodyDiv w:val="1"/>
      <w:marLeft w:val="0"/>
      <w:marRight w:val="0"/>
      <w:marTop w:val="0"/>
      <w:marBottom w:val="0"/>
      <w:divBdr>
        <w:top w:val="none" w:sz="0" w:space="0" w:color="auto"/>
        <w:left w:val="none" w:sz="0" w:space="0" w:color="auto"/>
        <w:bottom w:val="none" w:sz="0" w:space="0" w:color="auto"/>
        <w:right w:val="none" w:sz="0" w:space="0" w:color="auto"/>
      </w:divBdr>
      <w:divsChild>
        <w:div w:id="307395210">
          <w:marLeft w:val="547"/>
          <w:marRight w:val="0"/>
          <w:marTop w:val="0"/>
          <w:marBottom w:val="0"/>
          <w:divBdr>
            <w:top w:val="none" w:sz="0" w:space="0" w:color="auto"/>
            <w:left w:val="none" w:sz="0" w:space="0" w:color="auto"/>
            <w:bottom w:val="none" w:sz="0" w:space="0" w:color="auto"/>
            <w:right w:val="none" w:sz="0" w:space="0" w:color="auto"/>
          </w:divBdr>
        </w:div>
        <w:div w:id="892427657">
          <w:marLeft w:val="1166"/>
          <w:marRight w:val="0"/>
          <w:marTop w:val="0"/>
          <w:marBottom w:val="0"/>
          <w:divBdr>
            <w:top w:val="none" w:sz="0" w:space="0" w:color="auto"/>
            <w:left w:val="none" w:sz="0" w:space="0" w:color="auto"/>
            <w:bottom w:val="none" w:sz="0" w:space="0" w:color="auto"/>
            <w:right w:val="none" w:sz="0" w:space="0" w:color="auto"/>
          </w:divBdr>
        </w:div>
        <w:div w:id="103042577">
          <w:marLeft w:val="547"/>
          <w:marRight w:val="0"/>
          <w:marTop w:val="0"/>
          <w:marBottom w:val="0"/>
          <w:divBdr>
            <w:top w:val="none" w:sz="0" w:space="0" w:color="auto"/>
            <w:left w:val="none" w:sz="0" w:space="0" w:color="auto"/>
            <w:bottom w:val="none" w:sz="0" w:space="0" w:color="auto"/>
            <w:right w:val="none" w:sz="0" w:space="0" w:color="auto"/>
          </w:divBdr>
        </w:div>
        <w:div w:id="303891636">
          <w:marLeft w:val="1166"/>
          <w:marRight w:val="0"/>
          <w:marTop w:val="0"/>
          <w:marBottom w:val="0"/>
          <w:divBdr>
            <w:top w:val="none" w:sz="0" w:space="0" w:color="auto"/>
            <w:left w:val="none" w:sz="0" w:space="0" w:color="auto"/>
            <w:bottom w:val="none" w:sz="0" w:space="0" w:color="auto"/>
            <w:right w:val="none" w:sz="0" w:space="0" w:color="auto"/>
          </w:divBdr>
        </w:div>
        <w:div w:id="1819760329">
          <w:marLeft w:val="547"/>
          <w:marRight w:val="0"/>
          <w:marTop w:val="0"/>
          <w:marBottom w:val="0"/>
          <w:divBdr>
            <w:top w:val="none" w:sz="0" w:space="0" w:color="auto"/>
            <w:left w:val="none" w:sz="0" w:space="0" w:color="auto"/>
            <w:bottom w:val="none" w:sz="0" w:space="0" w:color="auto"/>
            <w:right w:val="none" w:sz="0" w:space="0" w:color="auto"/>
          </w:divBdr>
        </w:div>
        <w:div w:id="1952660063">
          <w:marLeft w:val="1166"/>
          <w:marRight w:val="0"/>
          <w:marTop w:val="0"/>
          <w:marBottom w:val="0"/>
          <w:divBdr>
            <w:top w:val="none" w:sz="0" w:space="0" w:color="auto"/>
            <w:left w:val="none" w:sz="0" w:space="0" w:color="auto"/>
            <w:bottom w:val="none" w:sz="0" w:space="0" w:color="auto"/>
            <w:right w:val="none" w:sz="0" w:space="0" w:color="auto"/>
          </w:divBdr>
        </w:div>
        <w:div w:id="1639605152">
          <w:marLeft w:val="1166"/>
          <w:marRight w:val="0"/>
          <w:marTop w:val="0"/>
          <w:marBottom w:val="0"/>
          <w:divBdr>
            <w:top w:val="none" w:sz="0" w:space="0" w:color="auto"/>
            <w:left w:val="none" w:sz="0" w:space="0" w:color="auto"/>
            <w:bottom w:val="none" w:sz="0" w:space="0" w:color="auto"/>
            <w:right w:val="none" w:sz="0" w:space="0" w:color="auto"/>
          </w:divBdr>
        </w:div>
        <w:div w:id="191193251">
          <w:marLeft w:val="547"/>
          <w:marRight w:val="0"/>
          <w:marTop w:val="0"/>
          <w:marBottom w:val="0"/>
          <w:divBdr>
            <w:top w:val="none" w:sz="0" w:space="0" w:color="auto"/>
            <w:left w:val="none" w:sz="0" w:space="0" w:color="auto"/>
            <w:bottom w:val="none" w:sz="0" w:space="0" w:color="auto"/>
            <w:right w:val="none" w:sz="0" w:space="0" w:color="auto"/>
          </w:divBdr>
        </w:div>
        <w:div w:id="1715151701">
          <w:marLeft w:val="1166"/>
          <w:marRight w:val="0"/>
          <w:marTop w:val="0"/>
          <w:marBottom w:val="0"/>
          <w:divBdr>
            <w:top w:val="none" w:sz="0" w:space="0" w:color="auto"/>
            <w:left w:val="none" w:sz="0" w:space="0" w:color="auto"/>
            <w:bottom w:val="none" w:sz="0" w:space="0" w:color="auto"/>
            <w:right w:val="none" w:sz="0" w:space="0" w:color="auto"/>
          </w:divBdr>
        </w:div>
        <w:div w:id="114447478">
          <w:marLeft w:val="1166"/>
          <w:marRight w:val="0"/>
          <w:marTop w:val="0"/>
          <w:marBottom w:val="0"/>
          <w:divBdr>
            <w:top w:val="none" w:sz="0" w:space="0" w:color="auto"/>
            <w:left w:val="none" w:sz="0" w:space="0" w:color="auto"/>
            <w:bottom w:val="none" w:sz="0" w:space="0" w:color="auto"/>
            <w:right w:val="none" w:sz="0" w:space="0" w:color="auto"/>
          </w:divBdr>
        </w:div>
      </w:divsChild>
    </w:div>
    <w:div w:id="1601183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cc.ac.uk/resources/curation-lifecycle-model" TargetMode="External"/><Relationship Id="rId7" Type="http://schemas.openxmlformats.org/officeDocument/2006/relationships/hyperlink" Target="http://www.dcc.ac.uk/resources/curation-lifecycle-mode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jpeg"/><Relationship Id="rId6" Type="http://schemas.openxmlformats.org/officeDocument/2006/relationships/image" Target="media/image7.pn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686</Characters>
  <Application>Microsoft Macintosh Word</Application>
  <DocSecurity>0</DocSecurity>
  <Lines>5</Lines>
  <Paragraphs>1</Paragraphs>
  <ScaleCrop>false</ScaleCrop>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poser</dc:creator>
  <cp:keywords/>
  <cp:lastModifiedBy>poser</cp:lastModifiedBy>
  <cp:revision>4</cp:revision>
  <dcterms:created xsi:type="dcterms:W3CDTF">2014-09-29T20:39:00Z</dcterms:created>
  <dcterms:modified xsi:type="dcterms:W3CDTF">2014-09-30T13:23:00Z</dcterms:modified>
</cp:coreProperties>
</file>